
<file path=[Content_Types].xml><?xml version="1.0" encoding="utf-8"?>
<Types xmlns="http://schemas.openxmlformats.org/package/2006/content-types">
  <Default ContentType="image/x-emf" Extension="emf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footer+xml" PartName="/word/footer4.xml"/>
  <Override ContentType="application/vnd.openxmlformats-officedocument.wordprocessingml.footer+xml" PartName="/word/footer6.xml"/>
  <Override ContentType="application/vnd.openxmlformats-officedocument.wordprocessingml.header+xml" PartName="/word/header1.xml"/>
  <Override ContentType="application/vnd.openxmlformats-officedocument.wordprocessingml.header+xml" PartName="/word/header3.xml"/>
  <Override ContentType="application/vnd.openxmlformats-officedocument.wordprocessingml.header+xml" PartName="/word/header5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4"/>
        <w:tblpPr w:bottomFromText="0" w:horzAnchor="margin" w:leftFromText="180" w:rightFromText="180" w:tblpXSpec="left" w:tblpY="1077" w:topFromText="0" w:vertAnchor="page"/>
        <w:tblW w:type="auto" w:w="0"/>
        <w:tblLayout w:type="fixed"/>
      </w:tblPr>
      <w:tblGrid>
        <w:gridCol w:w="4111"/>
        <w:gridCol w:w="851"/>
        <w:gridCol w:w="4677"/>
      </w:tblGrid>
      <w:tr>
        <w:trPr>
          <w:trHeight w:hRule="atLeast" w:val="290"/>
        </w:trPr>
        <w:tc>
          <w:tcPr>
            <w:tcW w:type="dxa" w:w="411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A000000">
            <w:pPr>
              <w:widowControl w:val="0"/>
              <w:tabs>
                <w:tab w:leader="none" w:pos="2447" w:val="left"/>
              </w:tabs>
              <w:ind w:firstLine="0" w:left="-249" w:right="-172"/>
              <w:jc w:val="center"/>
              <w:rPr>
                <w:b w:val="1"/>
                <w:sz w:val="16"/>
              </w:rPr>
            </w:pPr>
          </w:p>
        </w:tc>
        <w:tc>
          <w:tcPr>
            <w:tcW w:type="dxa" w:w="85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B000000">
            <w:pPr>
              <w:pStyle w:val="Style_5"/>
              <w:widowControl w:val="0"/>
              <w:ind w:firstLine="0" w:left="0"/>
            </w:pPr>
          </w:p>
        </w:tc>
        <w:tc>
          <w:tcPr>
            <w:tcW w:type="dxa" w:w="467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C000000">
            <w:pPr>
              <w:pStyle w:val="Style_5"/>
              <w:widowControl w:val="0"/>
              <w:ind w:firstLine="0" w:left="-106"/>
              <w:jc w:val="left"/>
            </w:pPr>
          </w:p>
        </w:tc>
      </w:tr>
      <w:tr>
        <w:trPr>
          <w:trHeight w:hRule="atLeast" w:val="1990"/>
        </w:trPr>
        <w:tc>
          <w:tcPr>
            <w:tcW w:type="dxa" w:w="411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D000000">
            <w:pPr>
              <w:widowControl w:val="0"/>
              <w:tabs>
                <w:tab w:leader="none" w:pos="2447" w:val="left"/>
              </w:tabs>
              <w:ind w:firstLine="0" w:left="-109" w:right="312"/>
              <w:jc w:val="center"/>
              <w:rPr>
                <w:b w:val="1"/>
                <w:sz w:val="16"/>
              </w:rPr>
            </w:pPr>
          </w:p>
          <w:p w14:paraId="0E000000">
            <w:pPr>
              <w:widowControl w:val="0"/>
              <w:tabs>
                <w:tab w:leader="none" w:pos="2447" w:val="left"/>
              </w:tabs>
              <w:ind w:firstLine="0" w:left="-109" w:right="312"/>
              <w:jc w:val="center"/>
              <w:rPr>
                <w:b w:val="1"/>
                <w:sz w:val="10"/>
              </w:rPr>
            </w:pPr>
          </w:p>
          <w:p w14:paraId="0F000000">
            <w:pPr>
              <w:widowControl w:val="0"/>
              <w:tabs>
                <w:tab w:leader="none" w:pos="2447" w:val="left"/>
              </w:tabs>
              <w:ind w:firstLine="0" w:left="-109" w:right="312"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ПРОКУРАТУРА</w:t>
            </w:r>
          </w:p>
          <w:p w14:paraId="10000000">
            <w:pPr>
              <w:widowControl w:val="0"/>
              <w:tabs>
                <w:tab w:leader="none" w:pos="2447" w:val="left"/>
              </w:tabs>
              <w:ind w:firstLine="0" w:left="-109" w:right="312"/>
              <w:jc w:val="center"/>
              <w:rPr>
                <w:b w:val="1"/>
                <w:sz w:val="16"/>
              </w:rPr>
            </w:pPr>
            <w:r>
              <w:rPr>
                <w:b w:val="1"/>
                <w:sz w:val="16"/>
              </w:rPr>
              <w:t>РОССИЙСКОЙ ФЕДЕРАЦИИ</w:t>
            </w:r>
          </w:p>
          <w:p w14:paraId="11000000">
            <w:pPr>
              <w:widowControl w:val="0"/>
              <w:tabs>
                <w:tab w:leader="none" w:pos="2447" w:val="left"/>
              </w:tabs>
              <w:ind w:firstLine="0" w:left="-109" w:right="312"/>
              <w:jc w:val="center"/>
              <w:rPr>
                <w:sz w:val="4"/>
              </w:rPr>
            </w:pPr>
          </w:p>
          <w:p w14:paraId="12000000">
            <w:pPr>
              <w:widowControl w:val="0"/>
              <w:tabs>
                <w:tab w:leader="none" w:pos="2447" w:val="left"/>
              </w:tabs>
              <w:ind w:firstLine="0" w:left="-109" w:right="312"/>
              <w:jc w:val="center"/>
              <w:rPr>
                <w:sz w:val="4"/>
              </w:rPr>
            </w:pPr>
          </w:p>
          <w:p w14:paraId="13000000">
            <w:pPr>
              <w:widowControl w:val="0"/>
              <w:spacing w:line="240" w:lineRule="exact"/>
              <w:ind w:firstLine="0" w:left="-109" w:right="312"/>
              <w:jc w:val="center"/>
              <w:rPr>
                <w:b w:val="1"/>
                <w:sz w:val="20"/>
              </w:rPr>
            </w:pPr>
            <w:r>
              <w:rPr>
                <w:b w:val="1"/>
                <w:sz w:val="20"/>
              </w:rPr>
              <w:t>ПРОКУРАТУРА</w:t>
            </w:r>
          </w:p>
          <w:p w14:paraId="14000000">
            <w:pPr>
              <w:widowControl w:val="0"/>
              <w:tabs>
                <w:tab w:leader="none" w:pos="2447" w:val="left"/>
                <w:tab w:leader="none" w:pos="4395" w:val="left"/>
              </w:tabs>
              <w:ind w:firstLine="0" w:left="-109" w:right="312"/>
              <w:jc w:val="center"/>
              <w:rPr>
                <w:b w:val="1"/>
                <w:sz w:val="4"/>
              </w:rPr>
            </w:pPr>
            <w:r>
              <w:rPr>
                <w:b w:val="1"/>
                <w:sz w:val="20"/>
              </w:rPr>
              <w:t xml:space="preserve">БУРЗЯНСКОГО РАЙОНА </w:t>
            </w:r>
          </w:p>
          <w:p w14:paraId="15000000">
            <w:pPr>
              <w:widowControl w:val="0"/>
              <w:tabs>
                <w:tab w:leader="none" w:pos="2447" w:val="left"/>
                <w:tab w:leader="none" w:pos="4395" w:val="left"/>
              </w:tabs>
              <w:ind w:firstLine="0" w:left="-109" w:right="312"/>
              <w:jc w:val="center"/>
              <w:rPr>
                <w:b w:val="1"/>
                <w:sz w:val="21"/>
              </w:rPr>
            </w:pPr>
            <w:r>
              <w:rPr>
                <w:b w:val="1"/>
                <w:sz w:val="20"/>
              </w:rPr>
              <w:t>БӨРЙӘН РАЙОНЫ ПРОКУРАТУРАҺЫ</w:t>
            </w:r>
          </w:p>
          <w:p w14:paraId="16000000">
            <w:pPr>
              <w:widowControl w:val="0"/>
              <w:tabs>
                <w:tab w:leader="none" w:pos="2447" w:val="left"/>
                <w:tab w:leader="none" w:pos="4395" w:val="left"/>
              </w:tabs>
              <w:ind w:firstLine="0" w:left="-109" w:right="312"/>
              <w:jc w:val="center"/>
              <w:rPr>
                <w:sz w:val="6"/>
              </w:rPr>
            </w:pPr>
          </w:p>
          <w:p w14:paraId="17000000">
            <w:pPr>
              <w:widowControl w:val="0"/>
              <w:tabs>
                <w:tab w:leader="none" w:pos="2447" w:val="left"/>
                <w:tab w:leader="none" w:pos="4395" w:val="left"/>
              </w:tabs>
              <w:spacing w:line="288" w:lineRule="auto"/>
              <w:ind w:firstLine="0" w:left="-109" w:right="312"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ул. Уральская, 1/1, с. Старосубхангулово, 453580,</w:t>
            </w:r>
          </w:p>
          <w:p w14:paraId="18000000">
            <w:pPr>
              <w:widowControl w:val="0"/>
              <w:tabs>
                <w:tab w:leader="none" w:pos="2447" w:val="left"/>
                <w:tab w:leader="none" w:pos="4395" w:val="left"/>
              </w:tabs>
              <w:ind w:firstLine="0" w:left="-109" w:right="312"/>
              <w:jc w:val="center"/>
              <w:rPr>
                <w:b w:val="1"/>
                <w:sz w:val="14"/>
              </w:rPr>
            </w:pPr>
            <w:r>
              <w:rPr>
                <w:b w:val="1"/>
                <w:sz w:val="14"/>
              </w:rPr>
              <w:t>тел.: (34755)3-62-31, факс: (34755)3-52-08</w:t>
            </w:r>
          </w:p>
        </w:tc>
        <w:tc>
          <w:tcPr>
            <w:tcW w:type="dxa" w:w="851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9000000">
            <w:pPr>
              <w:pStyle w:val="Style_5"/>
              <w:widowControl w:val="0"/>
              <w:ind w:firstLine="0" w:left="0"/>
            </w:pPr>
          </w:p>
        </w:tc>
        <w:tc>
          <w:tcPr>
            <w:tcW w:type="dxa" w:w="4677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A000000">
            <w:pPr>
              <w:pStyle w:val="Style_5"/>
              <w:widowControl w:val="0"/>
              <w:spacing w:line="240" w:lineRule="exact"/>
              <w:ind w:hanging="2" w:left="-108"/>
            </w:pPr>
            <w:r>
              <w:t xml:space="preserve">Для публикации в рамках правового просвящения  </w:t>
            </w:r>
          </w:p>
        </w:tc>
      </w:tr>
      <w:tr>
        <w:tc>
          <w:tcPr>
            <w:tcW w:type="dxa" w:w="411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B000000">
            <w:pPr>
              <w:widowControl w:val="0"/>
              <w:ind w:firstLine="0" w:left="-113" w:right="-107"/>
              <w:rPr>
                <w:sz w:val="20"/>
              </w:rPr>
            </w:pPr>
            <w:bookmarkStart w:id="3" w:name="REGNUMDATESTAMP"/>
            <w:r>
              <w:rPr>
                <w:color w:val="FF0000"/>
                <w:sz w:val="20"/>
              </w:rPr>
              <w:t>данные о регистрации (автоматически</w:t>
            </w:r>
            <w:r>
              <w:rPr>
                <w:color w:val="FF0000"/>
                <w:sz w:val="20"/>
              </w:rPr>
              <w:t>)</w:t>
            </w:r>
            <w:bookmarkEnd w:id="3"/>
          </w:p>
        </w:tc>
        <w:tc>
          <w:tcPr>
            <w:tcW w:type="dxa" w:w="851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</w:tcPr>
          <w:p/>
        </w:tc>
        <w:tc>
          <w:tcPr>
            <w:tcW w:type="dxa" w:w="4677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</w:tcPr>
          <w:p/>
        </w:tc>
      </w:tr>
      <w:tr>
        <w:trPr>
          <w:trHeight w:hRule="atLeast" w:val="535"/>
        </w:trPr>
        <w:tc>
          <w:tcPr>
            <w:tcW w:type="dxa" w:w="411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C000000">
            <w:pPr>
              <w:widowControl w:val="0"/>
              <w:ind w:firstLine="0" w:left="-113" w:right="-252"/>
              <w:rPr>
                <w:sz w:val="20"/>
              </w:rPr>
            </w:pPr>
          </w:p>
          <w:p w14:paraId="1D000000">
            <w:pPr>
              <w:widowControl w:val="0"/>
              <w:ind w:firstLine="0" w:left="-113" w:right="-252"/>
              <w:rPr>
                <w:sz w:val="20"/>
              </w:rPr>
            </w:pPr>
            <w:r>
              <w:rPr>
                <w:sz w:val="20"/>
              </w:rPr>
              <w:t>на № _________________</w:t>
            </w:r>
            <w:r>
              <w:rPr>
                <w:sz w:val="20"/>
              </w:rPr>
              <w:t>_  от</w:t>
            </w:r>
            <w:r>
              <w:rPr>
                <w:sz w:val="20"/>
              </w:rPr>
              <w:t xml:space="preserve"> _____________</w:t>
            </w:r>
            <w:r>
              <w:rPr>
                <w:sz w:val="20"/>
              </w:rPr>
              <w:t>_</w:t>
            </w:r>
          </w:p>
        </w:tc>
        <w:tc>
          <w:tcPr>
            <w:tcW w:type="dxa" w:w="851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E000000">
            <w:pPr>
              <w:widowControl w:val="0"/>
              <w:ind w:firstLine="0" w:left="-113"/>
            </w:pPr>
          </w:p>
        </w:tc>
        <w:tc>
          <w:tcPr>
            <w:tcW w:type="dxa" w:w="4677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</w:tcPr>
          <w:p/>
        </w:tc>
      </w:tr>
    </w:tbl>
    <w:p w14:paraId="1F000000">
      <w:pPr>
        <w:pStyle w:val="Style_5"/>
        <w:widowControl w:val="0"/>
        <w:ind w:firstLine="0" w:left="0"/>
      </w:pPr>
      <w:r>
        <w:drawing>
          <wp:anchor allowOverlap="true" behindDoc="true" layoutInCell="true" locked="false" relativeHeight="251658240" simplePos="false">
            <wp:simplePos x="0" y="0"/>
            <wp:positionH relativeFrom="column">
              <wp:posOffset>826770</wp:posOffset>
            </wp:positionH>
            <wp:positionV relativeFrom="paragraph">
              <wp:posOffset>-339725</wp:posOffset>
            </wp:positionV>
            <wp:extent cx="714375" cy="877570"/>
            <wp:effectExtent b="0" l="0" r="0" t="0"/>
            <wp:wrapNone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7"/>
                    <a:srcRect b="0" l="0" r="0" t="0"/>
                    <a:stretch/>
                  </pic:blipFill>
                  <pic:spPr>
                    <a:xfrm flipH="false" flipV="false" rot="0">
                      <a:ext cx="714375" cy="877570"/>
                    </a:xfrm>
                    <a:prstGeom prst="rect"/>
                  </pic:spPr>
                </pic:pic>
              </a:graphicData>
            </a:graphic>
          </wp:anchor>
        </w:drawing>
      </w:r>
    </w:p>
    <w:p w14:paraId="20000000">
      <w:pPr>
        <w:pStyle w:val="Style_5"/>
      </w:pPr>
    </w:p>
    <w:p w14:paraId="21000000">
      <w:pPr>
        <w:spacing w:after="0" w:before="0"/>
        <w:ind w:firstLine="540" w:left="0" w:right="0"/>
        <w:jc w:val="both"/>
        <w:rPr>
          <w:b w:val="1"/>
        </w:rPr>
      </w:pPr>
      <w:r>
        <w:rPr>
          <w:b w:val="1"/>
        </w:rPr>
        <w:t xml:space="preserve">Уголовная ответственность дроперов (ст. 187 Уголовного кодекса) </w:t>
      </w:r>
    </w:p>
    <w:p w14:paraId="22000000">
      <w:pPr>
        <w:spacing w:after="0" w:before="0"/>
        <w:ind w:firstLine="540" w:left="0" w:right="0"/>
        <w:jc w:val="both"/>
      </w:pPr>
    </w:p>
    <w:p w14:paraId="2300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Изготовление, приобретение, хранение, транспортировка в целях использования или сбыта, а равно сбыт поддельных платежных карт, распоряжений о переводе денежных средств, документов или средств оплаты</w:t>
      </w:r>
      <w:r>
        <w:rPr>
          <w:b w:val="0"/>
        </w:rPr>
        <w:t xml:space="preserve">, а также электронных средств, электронных носителей информации, технических устройств, компьютерных программ, предназначенных для неправомерного осуществления приема, выдачи, перевода денежных средств </w:t>
      </w:r>
      <w:r>
        <w:rPr>
          <w:b w:val="0"/>
        </w:rPr>
        <w:t>наказываются принудительными работами на срок до пяти лет либо лишением свободы на срок до шести лет со штрафом в размере от ста тысяч до трехсот тысяч рублей или в размере заработной платы или иного дохода осужденного за период от одного года до двух лет.</w:t>
      </w:r>
    </w:p>
    <w:p w14:paraId="24000000">
      <w:pPr>
        <w:spacing w:after="0" w:before="0"/>
        <w:ind w:firstLine="540" w:left="0" w:right="0"/>
        <w:jc w:val="both"/>
        <w:rPr>
          <w:b w:val="0"/>
        </w:rPr>
      </w:pPr>
    </w:p>
    <w:p w14:paraId="2500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Часто субъектами таких преступления являются дети, так как они не понимают логики действий мошенников, вовлекающих их в данное преступление.</w:t>
      </w:r>
    </w:p>
    <w:p w14:paraId="26000000">
      <w:pPr>
        <w:spacing w:after="0" w:before="0"/>
        <w:ind w:firstLine="540" w:left="0" w:right="0"/>
        <w:jc w:val="both"/>
        <w:rPr>
          <w:b w:val="0"/>
        </w:rPr>
      </w:pPr>
    </w:p>
    <w:p w14:paraId="2700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 xml:space="preserve">Ребенок в сети Интернет за небольшую плату предоставляет мошенникам доступ к своей банковской карте или счету, через который обналичиваются украденные деньги и становится фигурантом преступления.  </w:t>
      </w:r>
    </w:p>
    <w:p w14:paraId="2800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 xml:space="preserve"> </w:t>
      </w:r>
    </w:p>
    <w:p w14:paraId="29000000">
      <w:pPr>
        <w:spacing w:after="0" w:before="0"/>
        <w:ind w:firstLine="540" w:left="0" w:right="0"/>
        <w:jc w:val="both"/>
        <w:rPr>
          <w:b w:val="0"/>
        </w:rPr>
      </w:pPr>
    </w:p>
    <w:p w14:paraId="2A000000">
      <w:pPr>
        <w:spacing w:after="0" w:before="0"/>
        <w:ind w:firstLine="540" w:left="0" w:right="0"/>
        <w:jc w:val="both"/>
        <w:rPr>
          <w:b w:val="0"/>
        </w:rPr>
      </w:pPr>
      <w:r>
        <w:br/>
      </w:r>
    </w:p>
    <w:p w14:paraId="2B000000">
      <w:pPr>
        <w:spacing w:after="0" w:before="0"/>
        <w:ind w:firstLine="540" w:left="0" w:right="0"/>
        <w:jc w:val="both"/>
        <w:rPr>
          <w:b w:val="0"/>
        </w:rPr>
      </w:pPr>
      <w:r>
        <w:br/>
      </w:r>
    </w:p>
    <w:p w14:paraId="2C000000">
      <w:pPr>
        <w:spacing w:after="0" w:before="0"/>
        <w:ind w:firstLine="540" w:left="0" w:right="0"/>
        <w:jc w:val="both"/>
        <w:rPr>
          <w:b w:val="0"/>
        </w:rPr>
      </w:pPr>
    </w:p>
    <w:p w14:paraId="2D000000">
      <w:pPr>
        <w:spacing w:after="0" w:before="0"/>
        <w:ind w:firstLine="540" w:left="0" w:right="0"/>
        <w:jc w:val="both"/>
        <w:rPr>
          <w:b w:val="0"/>
        </w:rPr>
      </w:pPr>
    </w:p>
    <w:p w14:paraId="2E000000">
      <w:pPr>
        <w:spacing w:after="0" w:before="0"/>
        <w:ind w:firstLine="540" w:left="0" w:right="0"/>
        <w:jc w:val="both"/>
        <w:rPr>
          <w:b w:val="0"/>
        </w:rPr>
      </w:pPr>
    </w:p>
    <w:p w14:paraId="2F000000">
      <w:pPr>
        <w:pStyle w:val="Style_5"/>
        <w:widowControl w:val="0"/>
        <w:ind w:firstLine="0" w:left="0"/>
      </w:pPr>
    </w:p>
    <w:p w14:paraId="30000000">
      <w:pPr>
        <w:pStyle w:val="Style_5"/>
        <w:widowControl w:val="0"/>
        <w:ind w:firstLine="0" w:left="0"/>
        <w:rPr>
          <w:b w:val="0"/>
        </w:rPr>
      </w:pPr>
    </w:p>
    <w:p w14:paraId="31000000">
      <w:pPr>
        <w:pStyle w:val="Style_5"/>
        <w:widowControl w:val="0"/>
        <w:ind w:firstLine="0" w:left="0"/>
        <w:rPr>
          <w:b w:val="0"/>
        </w:rPr>
      </w:pPr>
    </w:p>
    <w:p w14:paraId="32000000">
      <w:pPr>
        <w:pStyle w:val="Style_5"/>
        <w:widowControl w:val="0"/>
        <w:ind w:firstLine="0" w:left="0"/>
      </w:pPr>
    </w:p>
    <w:p w14:paraId="33000000">
      <w:pPr>
        <w:spacing w:after="0" w:before="0"/>
        <w:ind w:firstLine="709" w:left="0" w:right="0"/>
        <w:jc w:val="both"/>
        <w:rPr>
          <w:b w:val="1"/>
        </w:rPr>
      </w:pPr>
      <w:r>
        <w:rPr>
          <w:b w:val="1"/>
        </w:rPr>
        <w:t xml:space="preserve">Профилактика совершения несовершеннолетними правонарушений (ст. 4 </w:t>
      </w:r>
      <w:r>
        <w:rPr>
          <w:b w:val="1"/>
        </w:rPr>
        <w:t xml:space="preserve">Федерального закона от 24.06.1999 № 120-ФЗ </w:t>
      </w:r>
      <w:r>
        <w:rPr>
          <w:b w:val="1"/>
        </w:rPr>
        <w:t>«</w:t>
      </w:r>
      <w:r>
        <w:rPr>
          <w:b w:val="1"/>
        </w:rPr>
        <w:t>Об основах системы профилактики безнадзорности и правонарушений несовершеннолетних»</w:t>
      </w:r>
      <w:r>
        <w:rPr>
          <w:b w:val="1"/>
        </w:rPr>
        <w:t>).</w:t>
      </w:r>
    </w:p>
    <w:p w14:paraId="34000000">
      <w:pPr>
        <w:spacing w:after="0" w:before="0"/>
        <w:ind w:firstLine="709" w:left="0" w:right="0"/>
        <w:jc w:val="both"/>
        <w:rPr>
          <w:b w:val="0"/>
        </w:rPr>
      </w:pPr>
    </w:p>
    <w:p w14:paraId="35000000">
      <w:pPr>
        <w:spacing w:after="0" w:before="0"/>
        <w:ind w:firstLine="709" w:left="0" w:right="0"/>
        <w:jc w:val="both"/>
        <w:rPr>
          <w:b w:val="0"/>
        </w:rPr>
      </w:pPr>
      <w:r>
        <w:rPr>
          <w:b w:val="0"/>
        </w:rPr>
        <w:t>В систему профилактики безнадзорности и правонарушений несовершеннолетних входят комиссии по делам несовершеннолетних и защите их прав, органы управления социальной защитой населения, органы осуществляющие осуществляющие управление в сфере образования, органы опеки и попечительства, органы по делам молодежи, органы управления здравоохранением, органы службы занятости, органы внутренних дел, учреждения уголовно-исполнительной системы (следственные изоляторы, воспитательные колонии и уголовно-исполнительные инспекции), следственные изоляторы органов федеральной службы безопасности.</w:t>
      </w:r>
    </w:p>
    <w:p w14:paraId="36000000">
      <w:pPr>
        <w:spacing w:after="0" w:before="0"/>
        <w:ind w:firstLine="709" w:left="0" w:right="0"/>
        <w:jc w:val="both"/>
        <w:rPr>
          <w:b w:val="0"/>
        </w:rPr>
      </w:pPr>
    </w:p>
    <w:p w14:paraId="37000000">
      <w:pPr>
        <w:spacing w:after="0" w:before="0"/>
        <w:ind w:firstLine="709" w:left="0" w:right="0"/>
        <w:jc w:val="both"/>
        <w:rPr>
          <w:b w:val="0"/>
        </w:rPr>
      </w:pPr>
      <w:r>
        <w:rPr>
          <w:b w:val="0"/>
        </w:rPr>
        <w:t>Значительный объем ведомств, заинтересованных в обеспечении безопасности физического и психического здоровья несовершеннолетних, должен в полной мере обеспечить возможности для содержания и воспитания детей.</w:t>
      </w:r>
    </w:p>
    <w:p w14:paraId="38000000">
      <w:pPr>
        <w:spacing w:after="0" w:before="0"/>
        <w:ind w:firstLine="709" w:left="0" w:right="0"/>
        <w:jc w:val="both"/>
        <w:rPr>
          <w:b w:val="0"/>
        </w:rPr>
      </w:pPr>
    </w:p>
    <w:p w14:paraId="39000000">
      <w:pPr>
        <w:spacing w:after="0" w:before="0"/>
        <w:ind w:firstLine="709" w:left="0" w:right="0"/>
        <w:jc w:val="both"/>
        <w:rPr>
          <w:b w:val="0"/>
        </w:rPr>
      </w:pPr>
      <w:r>
        <w:rPr>
          <w:b w:val="0"/>
        </w:rPr>
        <w:t xml:space="preserve">В этой связи о любых социальных, экономических сложностях, которые могут повлиять на указанный процесс, необходимо незамедлительно информировать уполномоченные органы, которые обязаны оказать всяческое содействие. </w:t>
      </w:r>
    </w:p>
    <w:p w14:paraId="3A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3B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3C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3D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3E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3F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40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41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42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43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44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45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46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47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48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49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4A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4B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4C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4D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4E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</w:rPr>
      </w:pPr>
    </w:p>
    <w:p w14:paraId="4F000000">
      <w:pPr>
        <w:spacing w:after="0" w:before="0"/>
        <w:ind w:firstLine="709" w:left="0" w:right="0"/>
        <w:jc w:val="both"/>
        <w:rPr>
          <w:rFonts w:ascii="Times New Roman" w:hAnsi="Times New Roman"/>
          <w:b w:val="1"/>
          <w:color w:val="000000"/>
          <w:sz w:val="28"/>
        </w:rPr>
      </w:pPr>
      <w:r>
        <w:rPr>
          <w:rFonts w:ascii="Times New Roman" w:hAnsi="Times New Roman"/>
          <w:b w:val="1"/>
          <w:color w:val="000000"/>
          <w:sz w:val="28"/>
        </w:rPr>
        <w:t>С 5 июля 2025 года ужесточили ответственность за возбуждение ненависти, вражды и унижение человеческого достоинства.</w:t>
      </w:r>
    </w:p>
    <w:p w14:paraId="50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</w:p>
    <w:p w14:paraId="51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Накажут не только при административной преюдиции, но и в случае, если: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виновный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имеет судимость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за публичные призывы к экстремизму или неоднократную демонстрацию запрещенной атрибутики;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нарушение сопровождалось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оправданием или пропагандой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применения насилия (угрозы его применения). </w:t>
      </w:r>
    </w:p>
    <w:p w14:paraId="52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color w:val="000000"/>
          <w:sz w:val="28"/>
          <w:u w:val="none"/>
        </w:rPr>
        <w:t>В</w:t>
      </w:r>
      <w:r>
        <w:rPr>
          <w:rFonts w:ascii="Times New Roman" w:hAnsi="Times New Roman"/>
          <w:b w:val="0"/>
          <w:strike w:val="0"/>
          <w:color w:val="000000"/>
          <w:sz w:val="28"/>
          <w:u w:color="000000" w:val="none"/>
        </w:rPr>
        <w:t>веден</w:t>
      </w:r>
      <w:r>
        <w:rPr>
          <w:rFonts w:ascii="Times New Roman" w:hAnsi="Times New Roman"/>
          <w:b w:val="0"/>
          <w:color w:val="000000"/>
          <w:sz w:val="28"/>
          <w:u w:val="none"/>
        </w:rPr>
        <w:t xml:space="preserve"> </w:t>
      </w:r>
      <w:r>
        <w:rPr>
          <w:rFonts w:ascii="Times New Roman" w:hAnsi="Times New Roman"/>
          <w:b w:val="0"/>
          <w:color w:val="000000"/>
          <w:sz w:val="28"/>
          <w:u w:val="none"/>
        </w:rPr>
        <w:t>новый квалифицирующий признак - совершение преступления группой лиц, в том числе по предварительному сговору.</w:t>
      </w:r>
    </w:p>
    <w:p w14:paraId="53000000">
      <w:pPr>
        <w:spacing w:after="0" w:before="0"/>
        <w:ind w:firstLine="709" w:left="0" w:right="0"/>
        <w:jc w:val="both"/>
        <w:rPr>
          <w:rFonts w:ascii="Times New Roman" w:hAnsi="Times New Roman"/>
          <w:b w:val="0"/>
          <w:color w:val="000000"/>
          <w:sz w:val="28"/>
          <w:u w:val="none"/>
        </w:rPr>
      </w:pPr>
    </w:p>
    <w:p w14:paraId="54000000">
      <w:pPr>
        <w:spacing w:after="0" w:before="0"/>
        <w:ind w:firstLine="540" w:left="0" w:right="0"/>
        <w:jc w:val="both"/>
        <w:rPr>
          <w:b w:val="0"/>
        </w:rPr>
      </w:pPr>
    </w:p>
    <w:p w14:paraId="55000000">
      <w:pPr>
        <w:spacing w:after="0" w:before="0"/>
        <w:ind w:firstLine="540" w:left="0" w:right="0"/>
        <w:jc w:val="both"/>
        <w:rPr>
          <w:b w:val="0"/>
        </w:rPr>
      </w:pPr>
    </w:p>
    <w:p w14:paraId="56000000">
      <w:pPr>
        <w:spacing w:after="0" w:before="0"/>
        <w:ind w:firstLine="540" w:left="0" w:right="0"/>
        <w:jc w:val="both"/>
        <w:rPr>
          <w:b w:val="0"/>
        </w:rPr>
      </w:pPr>
    </w:p>
    <w:p w14:paraId="57000000">
      <w:pPr>
        <w:spacing w:after="0" w:before="0"/>
        <w:ind w:firstLine="540" w:left="0" w:right="0"/>
        <w:jc w:val="both"/>
        <w:rPr>
          <w:b w:val="0"/>
        </w:rPr>
      </w:pPr>
    </w:p>
    <w:p w14:paraId="58000000">
      <w:pPr>
        <w:spacing w:after="0" w:before="0"/>
        <w:ind w:firstLine="540" w:left="0" w:right="0"/>
        <w:jc w:val="both"/>
        <w:rPr>
          <w:b w:val="0"/>
        </w:rPr>
      </w:pPr>
    </w:p>
    <w:p w14:paraId="59000000">
      <w:pPr>
        <w:spacing w:after="0" w:before="0"/>
        <w:ind w:firstLine="540" w:left="0" w:right="0"/>
        <w:jc w:val="both"/>
        <w:rPr>
          <w:b w:val="0"/>
        </w:rPr>
      </w:pPr>
    </w:p>
    <w:p w14:paraId="5A000000">
      <w:pPr>
        <w:spacing w:after="0" w:before="0"/>
        <w:ind w:firstLine="540" w:left="0" w:right="0"/>
        <w:jc w:val="both"/>
        <w:rPr>
          <w:b w:val="0"/>
        </w:rPr>
      </w:pPr>
    </w:p>
    <w:p w14:paraId="5B000000">
      <w:pPr>
        <w:spacing w:after="0" w:before="0"/>
        <w:ind w:firstLine="540" w:left="0" w:right="0"/>
        <w:jc w:val="both"/>
        <w:rPr>
          <w:b w:val="0"/>
        </w:rPr>
      </w:pPr>
    </w:p>
    <w:p w14:paraId="5C000000">
      <w:pPr>
        <w:spacing w:after="0" w:before="0"/>
        <w:ind w:firstLine="540" w:left="0" w:right="0"/>
        <w:jc w:val="both"/>
        <w:rPr>
          <w:b w:val="0"/>
        </w:rPr>
      </w:pPr>
    </w:p>
    <w:p w14:paraId="5D000000">
      <w:pPr>
        <w:spacing w:after="0" w:before="0"/>
        <w:ind w:firstLine="540" w:left="0" w:right="0"/>
        <w:jc w:val="both"/>
        <w:rPr>
          <w:b w:val="0"/>
        </w:rPr>
      </w:pPr>
    </w:p>
    <w:p w14:paraId="5E000000">
      <w:pPr>
        <w:spacing w:after="0" w:before="0"/>
        <w:ind w:firstLine="540" w:left="0" w:right="0"/>
        <w:jc w:val="both"/>
        <w:rPr>
          <w:b w:val="0"/>
        </w:rPr>
      </w:pPr>
    </w:p>
    <w:p w14:paraId="5F000000">
      <w:pPr>
        <w:spacing w:after="0" w:before="0"/>
        <w:ind w:firstLine="540" w:left="0" w:right="0"/>
        <w:jc w:val="both"/>
        <w:rPr>
          <w:b w:val="0"/>
        </w:rPr>
      </w:pPr>
    </w:p>
    <w:p w14:paraId="60000000">
      <w:pPr>
        <w:spacing w:after="0" w:before="0"/>
        <w:ind w:firstLine="540" w:left="0" w:right="0"/>
        <w:jc w:val="both"/>
        <w:rPr>
          <w:b w:val="0"/>
        </w:rPr>
      </w:pPr>
    </w:p>
    <w:p w14:paraId="61000000">
      <w:pPr>
        <w:spacing w:after="0" w:before="0"/>
        <w:ind w:firstLine="540" w:left="0" w:right="0"/>
        <w:jc w:val="both"/>
        <w:rPr>
          <w:b w:val="0"/>
        </w:rPr>
      </w:pPr>
    </w:p>
    <w:p w14:paraId="62000000">
      <w:pPr>
        <w:spacing w:after="0" w:before="0"/>
        <w:ind w:firstLine="540" w:left="0" w:right="0"/>
        <w:jc w:val="both"/>
        <w:rPr>
          <w:b w:val="0"/>
        </w:rPr>
      </w:pPr>
    </w:p>
    <w:p w14:paraId="63000000">
      <w:pPr>
        <w:spacing w:after="0" w:before="0"/>
        <w:ind w:firstLine="540" w:left="0" w:right="0"/>
        <w:jc w:val="both"/>
        <w:rPr>
          <w:b w:val="0"/>
        </w:rPr>
      </w:pPr>
    </w:p>
    <w:p w14:paraId="64000000">
      <w:pPr>
        <w:spacing w:after="0" w:before="0"/>
        <w:ind w:firstLine="540" w:left="0" w:right="0"/>
        <w:jc w:val="both"/>
        <w:rPr>
          <w:b w:val="0"/>
        </w:rPr>
      </w:pPr>
    </w:p>
    <w:p w14:paraId="65000000">
      <w:pPr>
        <w:spacing w:after="0" w:before="0"/>
        <w:ind w:firstLine="540" w:left="0" w:right="0"/>
        <w:jc w:val="both"/>
        <w:rPr>
          <w:b w:val="0"/>
        </w:rPr>
      </w:pPr>
    </w:p>
    <w:p w14:paraId="66000000">
      <w:pPr>
        <w:spacing w:after="0" w:before="0"/>
        <w:ind w:firstLine="540" w:left="0" w:right="0"/>
        <w:jc w:val="both"/>
        <w:rPr>
          <w:b w:val="0"/>
        </w:rPr>
      </w:pPr>
    </w:p>
    <w:p w14:paraId="67000000">
      <w:pPr>
        <w:spacing w:after="0" w:before="0"/>
        <w:ind w:firstLine="540" w:left="0" w:right="0"/>
        <w:jc w:val="both"/>
        <w:rPr>
          <w:b w:val="0"/>
        </w:rPr>
      </w:pPr>
    </w:p>
    <w:p w14:paraId="68000000">
      <w:pPr>
        <w:spacing w:after="0" w:before="0"/>
        <w:ind w:firstLine="540" w:left="0" w:right="0"/>
        <w:jc w:val="both"/>
        <w:rPr>
          <w:b w:val="0"/>
        </w:rPr>
      </w:pPr>
    </w:p>
    <w:p w14:paraId="69000000">
      <w:pPr>
        <w:spacing w:after="0" w:before="0"/>
        <w:ind w:firstLine="540" w:left="0" w:right="0"/>
        <w:jc w:val="both"/>
        <w:rPr>
          <w:b w:val="0"/>
        </w:rPr>
      </w:pPr>
    </w:p>
    <w:p w14:paraId="6A000000">
      <w:pPr>
        <w:spacing w:after="0" w:before="0"/>
        <w:ind w:firstLine="540" w:left="0" w:right="0"/>
        <w:jc w:val="both"/>
        <w:rPr>
          <w:b w:val="0"/>
        </w:rPr>
      </w:pPr>
    </w:p>
    <w:p w14:paraId="6B000000">
      <w:pPr>
        <w:spacing w:after="0" w:before="0"/>
        <w:ind w:firstLine="540" w:left="0" w:right="0"/>
        <w:jc w:val="both"/>
        <w:rPr>
          <w:b w:val="0"/>
        </w:rPr>
      </w:pPr>
    </w:p>
    <w:p w14:paraId="6C000000">
      <w:pPr>
        <w:spacing w:after="0" w:before="0"/>
        <w:ind w:firstLine="540" w:left="0" w:right="0"/>
        <w:jc w:val="both"/>
        <w:rPr>
          <w:b w:val="0"/>
        </w:rPr>
      </w:pPr>
    </w:p>
    <w:p w14:paraId="6D000000">
      <w:pPr>
        <w:spacing w:after="0" w:before="0"/>
        <w:ind w:firstLine="540" w:left="0" w:right="0"/>
        <w:jc w:val="both"/>
        <w:rPr>
          <w:b w:val="0"/>
        </w:rPr>
      </w:pPr>
    </w:p>
    <w:p w14:paraId="6E000000">
      <w:pPr>
        <w:spacing w:after="0" w:before="0"/>
        <w:ind w:firstLine="540" w:left="0" w:right="0"/>
        <w:jc w:val="both"/>
        <w:rPr>
          <w:b w:val="0"/>
        </w:rPr>
      </w:pPr>
    </w:p>
    <w:p w14:paraId="6F000000">
      <w:pPr>
        <w:spacing w:after="0" w:before="0"/>
        <w:ind w:firstLine="540" w:left="0" w:right="0"/>
        <w:jc w:val="both"/>
        <w:rPr>
          <w:b w:val="0"/>
        </w:rPr>
      </w:pPr>
    </w:p>
    <w:p w14:paraId="70000000">
      <w:pPr>
        <w:spacing w:after="0" w:before="0"/>
        <w:ind w:firstLine="540" w:left="0" w:right="0"/>
        <w:jc w:val="both"/>
        <w:rPr>
          <w:b w:val="0"/>
        </w:rPr>
      </w:pPr>
    </w:p>
    <w:p w14:paraId="71000000">
      <w:pPr>
        <w:spacing w:after="0" w:before="0"/>
        <w:ind w:firstLine="540" w:left="0" w:right="0"/>
        <w:jc w:val="both"/>
        <w:rPr>
          <w:b w:val="0"/>
        </w:rPr>
      </w:pPr>
    </w:p>
    <w:p w14:paraId="72000000">
      <w:pPr>
        <w:spacing w:after="0" w:before="0"/>
        <w:ind w:firstLine="540" w:left="0" w:right="0"/>
        <w:jc w:val="both"/>
        <w:rPr>
          <w:b w:val="0"/>
        </w:rPr>
      </w:pPr>
    </w:p>
    <w:p w14:paraId="73000000">
      <w:pPr>
        <w:spacing w:after="0" w:before="0"/>
        <w:ind w:firstLine="540" w:left="0" w:right="0"/>
        <w:jc w:val="both"/>
        <w:rPr>
          <w:b w:val="0"/>
        </w:rPr>
      </w:pPr>
    </w:p>
    <w:p w14:paraId="74000000">
      <w:pPr>
        <w:spacing w:after="0" w:before="0"/>
        <w:ind w:firstLine="540" w:left="0" w:right="0"/>
        <w:jc w:val="both"/>
        <w:rPr>
          <w:b w:val="0"/>
        </w:rPr>
      </w:pPr>
    </w:p>
    <w:p w14:paraId="75000000">
      <w:pPr>
        <w:spacing w:after="0" w:before="0"/>
        <w:ind w:firstLine="540" w:left="0" w:right="0"/>
        <w:jc w:val="both"/>
        <w:rPr>
          <w:b w:val="1"/>
        </w:rPr>
      </w:pPr>
      <w:r>
        <w:rPr>
          <w:b w:val="1"/>
        </w:rPr>
        <w:t>Дача взятки должностному лицу как отдельное коррупционное преступление также может повлечь достаточно суровое наказание: санкция ст.291 УК РФ</w:t>
      </w:r>
      <w:r>
        <w:rPr>
          <w:b w:val="1"/>
        </w:rPr>
        <w:t xml:space="preserve"> </w:t>
      </w:r>
      <w:r>
        <w:rPr>
          <w:b w:val="1"/>
          <w:strike w:val="0"/>
          <w:color w:val="0000FF"/>
          <w:u w:color="000000" w:val="single"/>
        </w:rPr>
        <w:t>(ч. 5)</w:t>
      </w:r>
      <w:r>
        <w:rPr>
          <w:b w:val="1"/>
        </w:rPr>
        <w:t xml:space="preserve"> </w:t>
      </w:r>
      <w:r>
        <w:rPr>
          <w:b w:val="1"/>
        </w:rPr>
        <w:t>предусматривает максимальное наказание в виде лишения свободы на срок до 15 лет.</w:t>
      </w:r>
    </w:p>
    <w:p w14:paraId="76000000">
      <w:pPr>
        <w:spacing w:after="0" w:before="0"/>
        <w:ind w:firstLine="540" w:left="0" w:right="0"/>
        <w:jc w:val="both"/>
        <w:rPr>
          <w:b w:val="0"/>
        </w:rPr>
      </w:pPr>
    </w:p>
    <w:p w14:paraId="7700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  <w:strike w:val="0"/>
          <w:color w:val="0000FF"/>
          <w:u w:color="000000" w:val="single"/>
        </w:rPr>
        <w:t>Примечание к ст. 291</w:t>
      </w:r>
      <w:r>
        <w:rPr>
          <w:b w:val="0"/>
        </w:rPr>
        <w:t xml:space="preserve"> </w:t>
      </w:r>
      <w:r>
        <w:rPr>
          <w:b w:val="0"/>
        </w:rPr>
        <w:t>УК РФ предусматривает 3 специальных основания освобождения взяткодателя от уголовной ответственности: 1) если он активно способствовал раскрытию и (или) расследованию преступления; 2) в отношении его имело место вымогательство взятки со стороны должностного лица; 3) взяткодатель после совершения преступления добровольно сообщил в орган, имеющий право возбудить уголовное дело, о даче взятки. Освобождение является обязательным.</w:t>
      </w:r>
    </w:p>
    <w:p w14:paraId="78000000">
      <w:pPr>
        <w:spacing w:after="0" w:before="0"/>
        <w:ind w:firstLine="540" w:left="0" w:right="0"/>
        <w:jc w:val="both"/>
        <w:rPr>
          <w:b w:val="0"/>
        </w:rPr>
      </w:pPr>
      <w:r>
        <w:rPr>
          <w:b w:val="0"/>
        </w:rPr>
        <w:t>Подобное положение действует также в отношении посредника во взяточничестве</w:t>
      </w:r>
      <w:r>
        <w:rPr>
          <w:b w:val="0"/>
        </w:rPr>
        <w:t>. В целом данные нормы об освобождении от ответственности взяткодателей и посредников во взяточничестве по своей направленности являются поощрительными, стимулирующими, побуждая данных лиц на выявление взяткополучателей, на позитивное посткриминальное поведение, выражающееся в деятельном раскаянии.</w:t>
      </w:r>
    </w:p>
    <w:p w14:paraId="79000000">
      <w:pPr>
        <w:pStyle w:val="Style_5"/>
        <w:widowControl w:val="0"/>
        <w:ind w:firstLine="0" w:left="0"/>
      </w:pPr>
    </w:p>
    <w:p w14:paraId="7A000000">
      <w:pPr>
        <w:pStyle w:val="Style_5"/>
        <w:widowControl w:val="0"/>
        <w:ind w:firstLine="0" w:left="0"/>
      </w:pPr>
    </w:p>
    <w:p w14:paraId="7B000000">
      <w:pPr>
        <w:widowControl w:val="0"/>
        <w:spacing w:line="240" w:lineRule="exact"/>
        <w:ind/>
      </w:pPr>
      <w:r>
        <w:t xml:space="preserve">Прокурор района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А.В. Ёлкин </w:t>
      </w:r>
    </w:p>
    <w:p w14:paraId="7C000000">
      <w:pPr>
        <w:widowControl w:val="0"/>
        <w:spacing w:line="240" w:lineRule="exact"/>
        <w:ind/>
      </w:pPr>
    </w:p>
    <w:tbl>
      <w:tblPr>
        <w:tblStyle w:val="Style_4"/>
        <w:tblW w:type="auto" w:w="0"/>
        <w:tblBorders>
          <w:top w:color="000000" w:sz="4" w:val="nil"/>
          <w:left w:color="000000" w:sz="4" w:val="nil"/>
          <w:bottom w:color="000000" w:sz="4" w:val="nil"/>
          <w:right w:color="000000" w:sz="4" w:val="nil"/>
          <w:insideH w:color="000000" w:sz="4" w:val="nil"/>
          <w:insideV w:color="000000" w:sz="4" w:val="nil"/>
        </w:tblBorders>
        <w:tblLayout w:type="fixed"/>
      </w:tblPr>
      <w:tblGrid>
        <w:gridCol w:w="9639"/>
      </w:tblGrid>
      <w:tr>
        <w:trPr>
          <w:trHeight w:hRule="atLeast" w:val="817"/>
        </w:trPr>
        <w:tc>
          <w:tcPr>
            <w:tcW w:type="dxa" w:w="9639"/>
            <w:tcBorders>
              <w:top w:color="000000" w:sz="4" w:val="nil"/>
              <w:left w:color="000000" w:sz="4" w:val="nil"/>
              <w:bottom w:color="000000" w:sz="4" w:val="nil"/>
              <w:right w:color="000000" w:sz="4" w:val="nil"/>
            </w:tcBorders>
          </w:tcPr>
          <w:p w14:paraId="7D000000">
            <w:pPr>
              <w:widowControl w:val="0"/>
              <w:spacing w:line="360" w:lineRule="exact"/>
              <w:ind w:firstLine="0" w:left="1163"/>
              <w:rPr>
                <w:color w:themeColor="background1" w:themeShade="BF" w:val="BFBFBF"/>
                <w:sz w:val="24"/>
              </w:rPr>
            </w:pPr>
            <w:bookmarkStart w:id="4" w:name="SIGNERSTAMP1"/>
            <w:r>
              <w:rPr>
                <w:color w:val="FF0000"/>
                <w:sz w:val="24"/>
              </w:rPr>
              <w:t>эл.подпись</w:t>
            </w:r>
            <w:bookmarkEnd w:id="4"/>
          </w:p>
        </w:tc>
      </w:tr>
    </w:tbl>
    <w:p w14:paraId="7E000000">
      <w:pPr>
        <w:pStyle w:val="Style_5"/>
        <w:widowControl w:val="0"/>
        <w:ind w:firstLine="0" w:left="0"/>
      </w:pPr>
    </w:p>
    <w:sectPr>
      <w:headerReference r:id="rId3" w:type="default"/>
      <w:headerReference r:id="rId5" w:type="first"/>
      <w:headerReference r:id="rId1" w:type="even"/>
      <w:footerReference r:id="rId4" w:type="default"/>
      <w:footerReference r:id="rId6" w:type="first"/>
      <w:footerReference r:id="rId2" w:type="even"/>
      <w:pgSz w:h="16838" w:orient="portrait" w:w="11906"/>
      <w:pgMar w:bottom="1134" w:footer="709" w:gutter="0" w:header="709" w:left="1701" w:right="567" w:top="567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2"/>
    </w:pPr>
  </w:p>
</w:ftr>
</file>

<file path=word/footer4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5000000">
    <w:pPr>
      <w:pStyle w:val="Style_2"/>
    </w:pPr>
  </w:p>
</w:ftr>
</file>

<file path=word/footer6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tbl>
    <w:tblPr>
      <w:tblStyle w:val="Style_3"/>
      <w:tblpPr w:horzAnchor="margin" w:tblpXSpec="right" w:tblpYSpec="outside" w:vertAnchor="page"/>
      <w:tblW w:type="auto" w:w="0"/>
      <w:tblBorders>
        <w:top w:color="000000" w:sz="6" w:val="single"/>
        <w:left w:color="000000" w:sz="6" w:val="single"/>
        <w:bottom w:color="000000" w:sz="6" w:val="single"/>
        <w:right w:color="000000" w:sz="6" w:val="single"/>
        <w:insideH w:color="000000" w:sz="6" w:val="single"/>
        <w:insideV w:color="000000" w:sz="6" w:val="single"/>
      </w:tblBorders>
      <w:tblLayout w:type="fixed"/>
      <w:tblCellMar>
        <w:top w:type="dxa" w:w="28"/>
        <w:left w:type="dxa" w:w="28"/>
        <w:bottom w:type="dxa" w:w="28"/>
        <w:right w:type="dxa" w:w="28"/>
      </w:tblCellMar>
    </w:tblPr>
    <w:tblGrid>
      <w:gridCol w:w="3643"/>
    </w:tblGrid>
    <w:tr>
      <w:trPr>
        <w:trHeight w:hRule="atLeast" w:val="57"/>
      </w:trPr>
      <w:tc>
        <w:tcPr>
          <w:tcW w:type="dxa" w:w="3643"/>
          <w:tcBorders>
            <w:top w:color="000000" w:sz="6" w:val="single"/>
            <w:left w:color="000000" w:sz="6" w:val="single"/>
            <w:bottom w:color="000000" w:sz="6" w:val="single"/>
            <w:right w:color="000000" w:sz="6" w:val="single"/>
          </w:tcBorders>
          <w:tcMar>
            <w:top w:type="dxa" w:w="28"/>
            <w:left w:type="dxa" w:w="28"/>
            <w:bottom w:type="dxa" w:w="28"/>
            <w:right w:type="dxa" w:w="28"/>
          </w:tcMar>
        </w:tcPr>
        <w:p w14:paraId="07000000">
          <w:pPr>
            <w:widowControl w:val="0"/>
            <w:spacing w:after="60"/>
            <w:ind/>
            <w:jc w:val="center"/>
            <w:rPr>
              <w:sz w:val="16"/>
            </w:rPr>
          </w:pPr>
          <w:bookmarkStart w:id="1" w:name="SIGNERORG1"/>
          <w:r>
            <w:rPr>
              <w:sz w:val="16"/>
            </w:rPr>
            <w:t>организация</w:t>
          </w:r>
          <w:bookmarkEnd w:id="1"/>
        </w:p>
        <w:p w14:paraId="08000000">
          <w:pPr>
            <w:widowControl w:val="0"/>
            <w:spacing w:after="60"/>
            <w:ind/>
            <w:rPr>
              <w:sz w:val="16"/>
            </w:rPr>
          </w:pPr>
          <w:r>
            <w:rPr>
              <w:sz w:val="16"/>
            </w:rPr>
            <w:t xml:space="preserve">№ </w:t>
          </w:r>
          <w:bookmarkStart w:id="2" w:name="REGNUMSTAMP"/>
          <w:r>
            <w:rPr>
              <w:color w:val="BFBFBF"/>
              <w:sz w:val="16"/>
            </w:rPr>
            <w:t>рег.номер</w:t>
          </w:r>
          <w:bookmarkEnd w:id="2"/>
        </w:p>
      </w:tc>
    </w:tr>
  </w:tbl>
  <w:p w14:paraId="09000000">
    <w:pPr>
      <w:pStyle w:val="Style_2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header3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  <w:widowControl w:val="0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4000000">
    <w:pPr>
      <w:pStyle w:val="Style_1"/>
    </w:pPr>
  </w:p>
</w:hdr>
</file>

<file path=word/header5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6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9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8"/>
      </w:rPr>
    </w:rPrDefault>
    <w:pPrDefault>
      <w:pPr>
        <w:widowControl w:val="0"/>
        <w:spacing w:after="0" w:before="0" w:line="240" w:lineRule="auto"/>
        <w:ind w:firstLine="0" w:left="0" w:right="0"/>
        <w:jc w:val="both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6" w:type="paragraph">
    <w:name w:val="Normal"/>
    <w:link w:val="Style_6_ch"/>
    <w:uiPriority w:val="0"/>
    <w:qFormat/>
    <w:pPr>
      <w:widowControl w:val="0"/>
      <w:ind/>
      <w:jc w:val="left"/>
    </w:pPr>
  </w:style>
  <w:style w:default="1" w:styleId="Style_6_ch" w:type="character">
    <w:name w:val="Normal"/>
    <w:link w:val="Style_6"/>
  </w:style>
  <w:style w:styleId="Style_7" w:type="paragraph">
    <w:name w:val="toc 2"/>
    <w:next w:val="Style_6"/>
    <w:link w:val="Style_7_ch"/>
    <w:uiPriority w:val="39"/>
    <w:pPr>
      <w:widowControl w:val="0"/>
      <w:ind w:firstLine="0" w:left="200"/>
      <w:jc w:val="left"/>
    </w:pPr>
    <w:rPr>
      <w:rFonts w:ascii="XO Thames" w:hAnsi="XO Thames"/>
      <w:sz w:val="28"/>
    </w:rPr>
  </w:style>
  <w:style w:styleId="Style_7_ch" w:type="character">
    <w:name w:val="toc 2"/>
    <w:link w:val="Style_7"/>
    <w:rPr>
      <w:rFonts w:ascii="XO Thames" w:hAnsi="XO Thames"/>
      <w:sz w:val="28"/>
    </w:rPr>
  </w:style>
  <w:style w:styleId="Style_8" w:type="paragraph">
    <w:name w:val="toc 4"/>
    <w:next w:val="Style_6"/>
    <w:link w:val="Style_8_ch"/>
    <w:uiPriority w:val="39"/>
    <w:pPr>
      <w:widowControl w:val="0"/>
      <w:ind w:firstLine="0" w:left="600"/>
      <w:jc w:val="left"/>
    </w:pPr>
    <w:rPr>
      <w:rFonts w:ascii="XO Thames" w:hAnsi="XO Thames"/>
      <w:sz w:val="28"/>
    </w:rPr>
  </w:style>
  <w:style w:styleId="Style_8_ch" w:type="character">
    <w:name w:val="toc 4"/>
    <w:link w:val="Style_8"/>
    <w:rPr>
      <w:rFonts w:ascii="XO Thames" w:hAnsi="XO Thames"/>
      <w:sz w:val="28"/>
    </w:rPr>
  </w:style>
  <w:style w:styleId="Style_9" w:type="paragraph">
    <w:name w:val="toc 6"/>
    <w:next w:val="Style_6"/>
    <w:link w:val="Style_9_ch"/>
    <w:uiPriority w:val="39"/>
    <w:pPr>
      <w:widowControl w:val="0"/>
      <w:ind w:firstLine="0" w:left="1000"/>
      <w:jc w:val="left"/>
    </w:pPr>
    <w:rPr>
      <w:rFonts w:ascii="XO Thames" w:hAnsi="XO Thames"/>
      <w:sz w:val="28"/>
    </w:rPr>
  </w:style>
  <w:style w:styleId="Style_9_ch" w:type="character">
    <w:name w:val="toc 6"/>
    <w:link w:val="Style_9"/>
    <w:rPr>
      <w:rFonts w:ascii="XO Thames" w:hAnsi="XO Thames"/>
      <w:sz w:val="28"/>
    </w:rPr>
  </w:style>
  <w:style w:styleId="Style_10" w:type="paragraph">
    <w:name w:val="toc 7"/>
    <w:next w:val="Style_6"/>
    <w:link w:val="Style_10_ch"/>
    <w:uiPriority w:val="39"/>
    <w:pPr>
      <w:widowControl w:val="0"/>
      <w:ind w:firstLine="0" w:left="1200"/>
      <w:jc w:val="left"/>
    </w:pPr>
    <w:rPr>
      <w:rFonts w:ascii="XO Thames" w:hAnsi="XO Thames"/>
      <w:sz w:val="28"/>
    </w:rPr>
  </w:style>
  <w:style w:styleId="Style_10_ch" w:type="character">
    <w:name w:val="toc 7"/>
    <w:link w:val="Style_10"/>
    <w:rPr>
      <w:rFonts w:ascii="XO Thames" w:hAnsi="XO Thames"/>
      <w:sz w:val="28"/>
    </w:rPr>
  </w:style>
  <w:style w:styleId="Style_11" w:type="paragraph">
    <w:name w:val="Endnote"/>
    <w:link w:val="Style_11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Endnote"/>
    <w:link w:val="Style_11"/>
    <w:rPr>
      <w:rFonts w:ascii="XO Thames" w:hAnsi="XO Thames"/>
      <w:sz w:val="22"/>
    </w:rPr>
  </w:style>
  <w:style w:styleId="Style_12" w:type="paragraph">
    <w:name w:val="heading 3"/>
    <w:next w:val="Style_6"/>
    <w:link w:val="Style_12_ch"/>
    <w:uiPriority w:val="9"/>
    <w:qFormat/>
    <w:pPr>
      <w:widowControl w:val="0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2_ch" w:type="character">
    <w:name w:val="heading 3"/>
    <w:link w:val="Style_12"/>
    <w:rPr>
      <w:rFonts w:ascii="XO Thames" w:hAnsi="XO Thames"/>
      <w:b w:val="1"/>
      <w:sz w:val="26"/>
    </w:rPr>
  </w:style>
  <w:style w:styleId="Style_13" w:type="paragraph">
    <w:name w:val="Г)ПодпТочн"/>
    <w:basedOn w:val="Style_6"/>
    <w:link w:val="Style_13_ch"/>
    <w:pPr>
      <w:widowControl w:val="0"/>
      <w:spacing w:line="240" w:lineRule="exact"/>
      <w:ind/>
      <w:jc w:val="both"/>
    </w:pPr>
  </w:style>
  <w:style w:styleId="Style_13_ch" w:type="character">
    <w:name w:val="Г)ПодпТочн"/>
    <w:basedOn w:val="Style_6_ch"/>
    <w:link w:val="Style_13"/>
  </w:style>
  <w:style w:styleId="Style_2" w:type="paragraph">
    <w:name w:val="footer"/>
    <w:basedOn w:val="Style_6"/>
    <w:link w:val="Style_2_ch"/>
    <w:pPr>
      <w:widowControl w:val="0"/>
      <w:tabs>
        <w:tab w:leader="none" w:pos="4677" w:val="center"/>
        <w:tab w:leader="none" w:pos="9355" w:val="right"/>
      </w:tabs>
      <w:ind/>
      <w:jc w:val="both"/>
    </w:pPr>
  </w:style>
  <w:style w:styleId="Style_2_ch" w:type="character">
    <w:name w:val="footer"/>
    <w:basedOn w:val="Style_6_ch"/>
    <w:link w:val="Style_2"/>
  </w:style>
  <w:style w:styleId="Style_14" w:type="paragraph">
    <w:name w:val="toc 3"/>
    <w:next w:val="Style_6"/>
    <w:link w:val="Style_14_ch"/>
    <w:uiPriority w:val="39"/>
    <w:pPr>
      <w:widowControl w:val="0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heading 5"/>
    <w:next w:val="Style_6"/>
    <w:link w:val="Style_15_ch"/>
    <w:uiPriority w:val="9"/>
    <w:qFormat/>
    <w:pPr>
      <w:widowControl w:val="0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7" w:type="paragraph">
    <w:name w:val="heading 1"/>
    <w:next w:val="Style_6"/>
    <w:link w:val="Style_17_ch"/>
    <w:uiPriority w:val="9"/>
    <w:qFormat/>
    <w:pPr>
      <w:widowControl w:val="0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7_ch" w:type="character">
    <w:name w:val="heading 1"/>
    <w:link w:val="Style_17"/>
    <w:rPr>
      <w:rFonts w:ascii="XO Thames" w:hAnsi="XO Thames"/>
      <w:b w:val="1"/>
      <w:sz w:val="32"/>
    </w:rPr>
  </w:style>
  <w:style w:styleId="Style_18" w:type="paragraph">
    <w:name w:val="Hyperlink"/>
    <w:basedOn w:val="Style_16"/>
    <w:link w:val="Style_18_ch"/>
    <w:rPr>
      <w:color w:themeColor="hyperlink" w:val="0563C1"/>
      <w:u w:val="single"/>
    </w:rPr>
  </w:style>
  <w:style w:styleId="Style_18_ch" w:type="character">
    <w:name w:val="Hyperlink"/>
    <w:basedOn w:val="Style_16_ch"/>
    <w:link w:val="Style_18"/>
    <w:rPr>
      <w:color w:themeColor="hyperlink" w:val="0563C1"/>
      <w:u w:val="single"/>
    </w:rPr>
  </w:style>
  <w:style w:styleId="Style_19" w:type="paragraph">
    <w:name w:val="Footnote"/>
    <w:link w:val="Style_19_ch"/>
    <w:pPr>
      <w:widowControl w:val="0"/>
      <w:ind w:firstLine="851" w:left="0"/>
      <w:jc w:val="both"/>
    </w:pPr>
    <w:rPr>
      <w:rFonts w:ascii="XO Thames" w:hAnsi="XO Thames"/>
      <w:sz w:val="22"/>
    </w:rPr>
  </w:style>
  <w:style w:styleId="Style_19_ch" w:type="character">
    <w:name w:val="Footnote"/>
    <w:link w:val="Style_19"/>
    <w:rPr>
      <w:rFonts w:ascii="XO Thames" w:hAnsi="XO Thames"/>
      <w:sz w:val="22"/>
    </w:rPr>
  </w:style>
  <w:style w:styleId="Style_20" w:type="paragraph">
    <w:name w:val="toc 1"/>
    <w:next w:val="Style_6"/>
    <w:link w:val="Style_20_ch"/>
    <w:uiPriority w:val="39"/>
    <w:pPr>
      <w:widowControl w:val="0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1" w:type="paragraph">
    <w:name w:val="header"/>
    <w:basedOn w:val="Style_6"/>
    <w:link w:val="Style_1_ch"/>
    <w:pPr>
      <w:widowControl w:val="0"/>
      <w:tabs>
        <w:tab w:leader="none" w:pos="4677" w:val="center"/>
        <w:tab w:leader="none" w:pos="9355" w:val="right"/>
      </w:tabs>
      <w:ind/>
      <w:jc w:val="both"/>
    </w:pPr>
  </w:style>
  <w:style w:styleId="Style_1_ch" w:type="character">
    <w:name w:val="header"/>
    <w:basedOn w:val="Style_6_ch"/>
    <w:link w:val="Style_1"/>
  </w:style>
  <w:style w:styleId="Style_21" w:type="paragraph">
    <w:name w:val="Header and Footer"/>
    <w:link w:val="Style_21_ch"/>
    <w:pPr>
      <w:widowControl w:val="0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6"/>
    <w:link w:val="Style_22_ch"/>
    <w:uiPriority w:val="39"/>
    <w:pPr>
      <w:widowControl w:val="0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6"/>
    <w:link w:val="Style_23_ch"/>
    <w:uiPriority w:val="39"/>
    <w:pPr>
      <w:widowControl w:val="0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Б)ШапТочн"/>
    <w:basedOn w:val="Style_6"/>
    <w:link w:val="Style_24_ch"/>
    <w:pPr>
      <w:widowControl w:val="0"/>
      <w:spacing w:line="240" w:lineRule="exact"/>
      <w:ind w:firstLine="0" w:left="4820"/>
      <w:jc w:val="both"/>
    </w:pPr>
  </w:style>
  <w:style w:styleId="Style_24_ch" w:type="character">
    <w:name w:val="Б)ШапТочн"/>
    <w:basedOn w:val="Style_6_ch"/>
    <w:link w:val="Style_24"/>
  </w:style>
  <w:style w:styleId="Style_25" w:type="paragraph">
    <w:name w:val="В)ЦентТочн"/>
    <w:basedOn w:val="Style_6"/>
    <w:link w:val="Style_25_ch"/>
    <w:pPr>
      <w:widowControl w:val="0"/>
      <w:spacing w:line="240" w:lineRule="exact"/>
      <w:ind/>
      <w:jc w:val="center"/>
    </w:pPr>
  </w:style>
  <w:style w:styleId="Style_25_ch" w:type="character">
    <w:name w:val="В)ЦентТочн"/>
    <w:basedOn w:val="Style_6_ch"/>
    <w:link w:val="Style_25"/>
  </w:style>
  <w:style w:styleId="Style_26" w:type="paragraph">
    <w:name w:val="toc 5"/>
    <w:next w:val="Style_6"/>
    <w:link w:val="Style_26_ch"/>
    <w:uiPriority w:val="39"/>
    <w:pPr>
      <w:widowControl w:val="0"/>
      <w:ind w:firstLine="0" w:left="800"/>
      <w:jc w:val="left"/>
    </w:pPr>
    <w:rPr>
      <w:rFonts w:ascii="XO Thames" w:hAnsi="XO Thames"/>
      <w:sz w:val="28"/>
    </w:rPr>
  </w:style>
  <w:style w:styleId="Style_26_ch" w:type="character">
    <w:name w:val="toc 5"/>
    <w:link w:val="Style_26"/>
    <w:rPr>
      <w:rFonts w:ascii="XO Thames" w:hAnsi="XO Thames"/>
      <w:sz w:val="28"/>
    </w:rPr>
  </w:style>
  <w:style w:styleId="Style_5" w:type="paragraph">
    <w:name w:val="А)КрСтр"/>
    <w:basedOn w:val="Style_6"/>
    <w:link w:val="Style_5_ch"/>
    <w:pPr>
      <w:widowControl w:val="0"/>
      <w:ind w:firstLine="709" w:left="0"/>
      <w:jc w:val="both"/>
    </w:pPr>
  </w:style>
  <w:style w:styleId="Style_5_ch" w:type="character">
    <w:name w:val="А)КрСтр"/>
    <w:basedOn w:val="Style_6_ch"/>
    <w:link w:val="Style_5"/>
  </w:style>
  <w:style w:styleId="Style_27" w:type="paragraph">
    <w:name w:val="Unresolved Mention"/>
    <w:basedOn w:val="Style_16"/>
    <w:link w:val="Style_27_ch"/>
    <w:rPr>
      <w:color w:val="605E5C"/>
      <w:shd w:fill="E1DFDD" w:val="clear"/>
    </w:rPr>
  </w:style>
  <w:style w:styleId="Style_27_ch" w:type="character">
    <w:name w:val="Unresolved Mention"/>
    <w:basedOn w:val="Style_16_ch"/>
    <w:link w:val="Style_27"/>
    <w:rPr>
      <w:color w:val="605E5C"/>
      <w:shd w:fill="E1DFDD" w:val="clear"/>
    </w:rPr>
  </w:style>
  <w:style w:styleId="Style_28" w:type="paragraph">
    <w:name w:val="Subtitle"/>
    <w:next w:val="Style_6"/>
    <w:link w:val="Style_28_ch"/>
    <w:uiPriority w:val="11"/>
    <w:qFormat/>
    <w:pPr>
      <w:widowControl w:val="0"/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Title"/>
    <w:next w:val="Style_6"/>
    <w:link w:val="Style_29_ch"/>
    <w:uiPriority w:val="10"/>
    <w:qFormat/>
    <w:pPr>
      <w:widowControl w:val="0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9_ch" w:type="character">
    <w:name w:val="Title"/>
    <w:link w:val="Style_29"/>
    <w:rPr>
      <w:rFonts w:ascii="XO Thames" w:hAnsi="XO Thames"/>
      <w:b w:val="1"/>
      <w:caps w:val="1"/>
      <w:sz w:val="40"/>
    </w:rPr>
  </w:style>
  <w:style w:styleId="Style_30" w:type="paragraph">
    <w:name w:val="heading 4"/>
    <w:next w:val="Style_6"/>
    <w:link w:val="Style_30_ch"/>
    <w:uiPriority w:val="9"/>
    <w:qFormat/>
    <w:pPr>
      <w:widowControl w:val="0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0_ch" w:type="character">
    <w:name w:val="heading 4"/>
    <w:link w:val="Style_30"/>
    <w:rPr>
      <w:rFonts w:ascii="XO Thames" w:hAnsi="XO Thames"/>
      <w:b w:val="1"/>
      <w:sz w:val="24"/>
    </w:rPr>
  </w:style>
  <w:style w:styleId="Style_31" w:type="paragraph">
    <w:name w:val="heading 2"/>
    <w:next w:val="Style_6"/>
    <w:link w:val="Style_31_ch"/>
    <w:uiPriority w:val="9"/>
    <w:qFormat/>
    <w:pPr>
      <w:widowControl w:val="0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1_ch" w:type="character">
    <w:name w:val="heading 2"/>
    <w:link w:val="Style_31"/>
    <w:rPr>
      <w:rFonts w:ascii="XO Thames" w:hAnsi="XO Thames"/>
      <w:b w:val="1"/>
      <w:sz w:val="28"/>
    </w:rPr>
  </w:style>
  <w:style w:styleId="Style_32" w:type="paragraph">
    <w:name w:val="Balloon Text"/>
    <w:basedOn w:val="Style_6"/>
    <w:link w:val="Style_32_ch"/>
    <w:rPr>
      <w:rFonts w:ascii="Segoe UI" w:hAnsi="Segoe UI"/>
      <w:sz w:val="18"/>
    </w:rPr>
  </w:style>
  <w:style w:styleId="Style_32_ch" w:type="character">
    <w:name w:val="Balloon Text"/>
    <w:basedOn w:val="Style_6_ch"/>
    <w:link w:val="Style_32"/>
    <w:rPr>
      <w:rFonts w:ascii="Segoe UI" w:hAnsi="Segoe UI"/>
      <w:sz w:val="18"/>
    </w:rPr>
  </w:style>
  <w:style w:default="1" w:styleId="Style_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4" w:type="table">
    <w:name w:val="Table Grid"/>
    <w:basedOn w:val="Style_3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footer6.xml" Type="http://schemas.openxmlformats.org/officeDocument/2006/relationships/footer"/>
  <Relationship Id="rId1" Target="header1.xml" Type="http://schemas.openxmlformats.org/officeDocument/2006/relationships/header"/>
  <Relationship Id="rId13" Target="theme/theme1.xml" Type="http://schemas.openxmlformats.org/officeDocument/2006/relationships/theme"/>
  <Relationship Id="rId12" Target="webSettings.xml" Type="http://schemas.openxmlformats.org/officeDocument/2006/relationships/webSettings"/>
  <Relationship Id="rId10" Target="styles.xml" Type="http://schemas.openxmlformats.org/officeDocument/2006/relationships/styles"/>
  <Relationship Id="rId2" Target="footer2.xml" Type="http://schemas.openxmlformats.org/officeDocument/2006/relationships/footer"/>
  <Relationship Id="rId3" Target="header3.xml" Type="http://schemas.openxmlformats.org/officeDocument/2006/relationships/header"/>
  <Relationship Id="rId8" Target="fontTable.xml" Type="http://schemas.openxmlformats.org/officeDocument/2006/relationships/fontTable"/>
  <Relationship Id="rId4" Target="footer4.xml" Type="http://schemas.openxmlformats.org/officeDocument/2006/relationships/footer"/>
  <Relationship Id="rId11" Target="stylesWithEffects.xml" Type="http://schemas.microsoft.com/office/2007/relationships/stylesWithEffects"/>
  <Relationship Id="rId9" Target="settings.xml" Type="http://schemas.openxmlformats.org/officeDocument/2006/relationships/settings"/>
  <Relationship Id="rId7" Target="media/1.emf" Type="http://schemas.openxmlformats.org/officeDocument/2006/relationships/image"/>
  <Relationship Id="rId5" Target="header5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2026-05-06T04:59:07Z</dcterms:created>
  <dcterms:modified xsi:type="dcterms:W3CDTF">2026-05-06T07:33:30Z</dcterms:modified>
</cp:coreProperties>
</file>